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内设机构和三公经费增减变化情况补充说明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内设机构有：办公室、人事处、财务处、科管处、粮食作物研究所、经济作物研究所、林果研究所、畜牧研究所、农试场。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2016年市本级“三公”经费公共预算财政拨款决算支出18.48</w:t>
      </w:r>
      <w:r>
        <w:rPr>
          <w:rFonts w:hint="eastAsia" w:ascii="仿宋" w:hAnsi="仿宋" w:eastAsia="仿宋" w:cs="仿宋"/>
          <w:sz w:val="32"/>
          <w:szCs w:val="32"/>
        </w:rPr>
        <w:t>万元，减少</w:t>
      </w:r>
      <w:r>
        <w:rPr>
          <w:rFonts w:hint="eastAsia" w:ascii="仿宋_GB2312" w:eastAsia="仿宋_GB2312"/>
          <w:sz w:val="32"/>
          <w:szCs w:val="32"/>
        </w:rPr>
        <w:t>1.66万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，减少8.2%。具体支出情况如下：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（1）公务用车购置及运行维护费支出17.85万元，同比</w:t>
      </w:r>
      <w:r>
        <w:rPr>
          <w:rFonts w:hint="eastAsia" w:ascii="仿宋" w:hAnsi="仿宋" w:eastAsia="仿宋" w:cs="仿宋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</w:rPr>
        <w:t>1.42万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，减少7.37%。主要因为本院本着弘扬勤俭节约传统，坚持勤俭办事，反对铺张浪费，严格控制经费开支。公务用车购置及保有情况：本年度市本级单位使用公共预算财政拨款购置公务用车0辆，年末公共预算财政拨款开支运行维护费的公务用车保有量7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（2）公务接待费支出6283元。接待来人9批次，共计76人。主要因为积极与外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科研机构，科研协作单位，农业示范点负责人，交流学习合作，更好的为“三农”服务。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0E"/>
    <w:rsid w:val="004D4247"/>
    <w:rsid w:val="0072620E"/>
    <w:rsid w:val="00885EB1"/>
    <w:rsid w:val="00BC799F"/>
    <w:rsid w:val="00FA63D2"/>
    <w:rsid w:val="667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2018-01-03T06:40:00Z</dcterms:created>
  <dc:creator>lenovo</dc:creator>
  <cp:lastModifiedBy>Administrator</cp:lastModifiedBy>
  <dcterms:modified xsi:type="dcterms:W3CDTF">2018-01-03T07:51:13Z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